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48"/>
        </w:rPr>
        <w:t>ANASTASIA KAESBACH</w:t>
      </w:r>
    </w:p>
    <w:p>
      <w:pPr>
        <w:jc w:val="center"/>
      </w:pPr>
      <w:r>
        <w:rPr>
          <w:sz w:val="22"/>
        </w:rPr>
        <w:t>MEDIA CONTACT</w:t>
      </w:r>
    </w:p>
    <w:p/>
    <w:p>
      <w:pPr>
        <w:spacing w:after="360"/>
        <w:jc w:val="center"/>
      </w:pPr>
      <w:r>
        <w:t>For press inquiries, interviews, speaking engagements, publishing, rights, and other professional media requests:</w:t>
      </w:r>
    </w:p>
    <w:p>
      <w:pPr>
        <w:jc w:val="center"/>
      </w:pPr>
      <w:r>
        <w:rPr>
          <w:b/>
          <w:sz w:val="28"/>
        </w:rPr>
        <w:t>Anastasia Kaesbach</w:t>
        <w:br/>
      </w:r>
      <w:r>
        <w:t>Author · Founder of Prana Yami</w:t>
        <w:br/>
      </w:r>
      <w:r>
        <w:rPr>
          <w:sz w:val="22"/>
        </w:rPr>
        <w:t>anastasia@prana-yami.com</w:t>
      </w:r>
    </w:p>
    <w:p/>
    <w:p>
      <w:pPr>
        <w:jc w:val="center"/>
      </w:pPr>
      <w:r>
        <w:t>Press &amp; Media</w:t>
      </w:r>
      <w:r>
        <w:t xml:space="preserve">  ·  </w:t>
      </w:r>
      <w:r>
        <w:t>Interviews &amp; Podcasts</w:t>
      </w:r>
      <w:r>
        <w:t xml:space="preserve">  ·  </w:t>
      </w:r>
      <w:r>
        <w:t>Speaking &amp; Events</w:t>
      </w:r>
      <w:r>
        <w:t xml:space="preserve">  ·  </w:t>
      </w:r>
      <w:r>
        <w:t>Publishing &amp; Rights</w:t>
      </w:r>
    </w:p>
    <w:p/>
    <w:p>
      <w:pPr>
        <w:jc w:val="center"/>
      </w:pPr>
      <w:r>
        <w:t>Official biographies, high-resolution author photographs, book covers, book information, and speaking topics are available through the Anastasia Kaesbach Press &amp; Media resources.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